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6403A6" w:rsidRPr="0030727F" w:rsidTr="006403A6">
        <w:tc>
          <w:tcPr>
            <w:tcW w:w="8046" w:type="dxa"/>
            <w:tcBorders>
              <w:right w:val="single" w:sz="4" w:space="0" w:color="auto"/>
            </w:tcBorders>
          </w:tcPr>
          <w:p w:rsidR="006403A6" w:rsidRPr="0030727F" w:rsidRDefault="006403A6" w:rsidP="0030727F">
            <w:pPr>
              <w:rPr>
                <w:rFonts w:ascii="Simplified Arabic" w:hAnsi="Simplified Arabic" w:cs="Simplified Arabic"/>
                <w:b/>
                <w:bCs/>
                <w:rtl/>
              </w:rPr>
            </w:pPr>
            <w:bookmarkStart w:id="0" w:name="_GoBack"/>
            <w:bookmarkEnd w:id="0"/>
            <w:r w:rsidRPr="0030727F">
              <w:rPr>
                <w:rFonts w:ascii="Simplified Arabic" w:hAnsi="Simplified Arabic" w:cs="Simplified Arabic"/>
                <w:b/>
                <w:bCs/>
                <w:rtl/>
              </w:rPr>
              <w:t xml:space="preserve">إنه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يوم ............. الموافق</w:t>
            </w:r>
            <w:r w:rsidR="005C2EDA" w:rsidRPr="0030727F">
              <w:rPr>
                <w:rFonts w:ascii="Simplified Arabic" w:hAnsi="Simplified Arabic" w:cs="Simplified Arabic"/>
                <w:b/>
                <w:bCs/>
                <w:rtl/>
              </w:rPr>
              <w:t xml:space="preserve"> </w:t>
            </w:r>
            <w:r w:rsidR="00EA0C14" w:rsidRPr="0030727F">
              <w:rPr>
                <w:rFonts w:ascii="Simplified Arabic" w:hAnsi="Simplified Arabic" w:cs="Simplified Arabic"/>
                <w:b/>
                <w:bCs/>
                <w:rtl/>
              </w:rPr>
              <w:t xml:space="preserve"> بناءاً على طلب  </w:t>
            </w:r>
            <w:r w:rsidR="005C2EDA" w:rsidRPr="0030727F">
              <w:rPr>
                <w:rFonts w:ascii="Simplified Arabic" w:hAnsi="Simplified Arabic" w:cs="Simplified Arabic"/>
                <w:b/>
                <w:bCs/>
                <w:color w:val="0070C0"/>
                <w:rtl/>
              </w:rPr>
              <w:t>\</w:t>
            </w:r>
            <w:r w:rsidR="0042179C" w:rsidRPr="0030727F">
              <w:rPr>
                <w:rFonts w:ascii="Simplified Arabic" w:hAnsi="Simplified Arabic" w:cs="Simplified Arabic"/>
                <w:b/>
                <w:bCs/>
                <w:color w:val="0070C0"/>
                <w:rtl/>
              </w:rPr>
              <w:t>السيد</w:t>
            </w:r>
            <w:r w:rsidR="005C2EDA"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قد انتقلت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تاريخه </w:t>
            </w:r>
            <w:r w:rsidR="00DC15F7" w:rsidRPr="0030727F">
              <w:rPr>
                <w:rFonts w:ascii="Simplified Arabic" w:hAnsi="Simplified Arabic" w:cs="Simplified Arabic"/>
                <w:b/>
                <w:bCs/>
                <w:rtl/>
              </w:rPr>
              <w:t>أ</w:t>
            </w:r>
            <w:r w:rsidRPr="0030727F">
              <w:rPr>
                <w:rFonts w:ascii="Simplified Arabic" w:hAnsi="Simplified Arabic" w:cs="Simplified Arabic"/>
                <w:b/>
                <w:bCs/>
                <w:rtl/>
              </w:rPr>
              <w:t xml:space="preserve">علاه </w:t>
            </w:r>
            <w:r w:rsidR="00DC15F7" w:rsidRPr="0030727F">
              <w:rPr>
                <w:rFonts w:ascii="Simplified Arabic" w:hAnsi="Simplified Arabic" w:cs="Simplified Arabic"/>
                <w:b/>
                <w:bCs/>
                <w:rtl/>
              </w:rPr>
              <w:t>إ</w:t>
            </w:r>
            <w:r w:rsidRPr="0030727F">
              <w:rPr>
                <w:rFonts w:ascii="Simplified Arabic" w:hAnsi="Simplified Arabic" w:cs="Simplified Arabic"/>
                <w:b/>
                <w:bCs/>
                <w:rtl/>
              </w:rPr>
              <w:t>لى</w:t>
            </w:r>
            <w:r w:rsidR="00DC15F7" w:rsidRPr="0030727F">
              <w:rPr>
                <w:rFonts w:ascii="Simplified Arabic" w:hAnsi="Simplified Arabic" w:cs="Simplified Arabic"/>
                <w:b/>
                <w:bCs/>
                <w:rtl/>
              </w:rPr>
              <w:t>:</w:t>
            </w:r>
          </w:p>
          <w:p w:rsidR="004A76AF" w:rsidRPr="0030727F" w:rsidRDefault="004A76AF" w:rsidP="0030727F">
            <w:pPr>
              <w:rPr>
                <w:rFonts w:ascii="Simplified Arabic" w:hAnsi="Simplified Arabic" w:cs="Simplified Arabic"/>
                <w:b/>
                <w:bCs/>
                <w:color w:val="0070C0"/>
                <w:rtl/>
              </w:rPr>
            </w:pPr>
            <w:r w:rsidRPr="0030727F">
              <w:rPr>
                <w:rFonts w:ascii="Simplified Arabic" w:hAnsi="Simplified Arabic" w:cs="Simplified Arabic"/>
                <w:b/>
                <w:bCs/>
                <w:color w:val="0070C0"/>
                <w:rtl/>
              </w:rPr>
              <w:t>\</w:t>
            </w:r>
            <w:r w:rsidR="0083104E" w:rsidRPr="0030727F">
              <w:rPr>
                <w:rFonts w:ascii="Simplified Arabic" w:hAnsi="Simplified Arabic" w:cs="Simplified Arabic"/>
                <w:b/>
                <w:bCs/>
                <w:color w:val="0070C0"/>
                <w:rtl/>
              </w:rPr>
              <w:t>السيد</w:t>
            </w:r>
            <w:r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u w:val="single"/>
                <w:rtl/>
              </w:rPr>
            </w:pPr>
            <w:r w:rsidRPr="0030727F">
              <w:rPr>
                <w:rFonts w:ascii="Simplified Arabic" w:hAnsi="Simplified Arabic" w:cs="Simplified Arabic"/>
                <w:b/>
                <w:bCs/>
                <w:u w:val="single"/>
                <w:rtl/>
              </w:rPr>
              <w:t xml:space="preserve">وأعلنته </w:t>
            </w:r>
            <w:r w:rsidR="00DC15F7" w:rsidRPr="0030727F">
              <w:rPr>
                <w:rFonts w:ascii="Simplified Arabic" w:hAnsi="Simplified Arabic" w:cs="Simplified Arabic"/>
                <w:b/>
                <w:bCs/>
                <w:u w:val="single"/>
                <w:rtl/>
              </w:rPr>
              <w:t>بالآتي</w:t>
            </w:r>
          </w:p>
          <w:p w:rsidR="00F34C23" w:rsidRPr="0030727F" w:rsidRDefault="00F34C23" w:rsidP="00C8502E">
            <w:pPr>
              <w:ind w:firstLine="0"/>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الوقائع على نحو ما سيرد بهذه الصحيفة من حقائق تدعمها </w:t>
            </w:r>
            <w:r w:rsidR="00C8502E" w:rsidRPr="0030727F">
              <w:rPr>
                <w:rFonts w:ascii="Simplified Arabic" w:hAnsi="Simplified Arabic" w:cs="Simplified Arabic"/>
                <w:b/>
                <w:bCs/>
                <w:color w:val="FF0000"/>
                <w:rtl/>
              </w:rPr>
              <w:t>المستندات،</w:t>
            </w:r>
            <w:r w:rsidRPr="0030727F">
              <w:rPr>
                <w:rFonts w:ascii="Simplified Arabic" w:hAnsi="Simplified Arabic" w:cs="Simplified Arabic"/>
                <w:b/>
                <w:bCs/>
                <w:color w:val="FF0000"/>
                <w:rtl/>
              </w:rPr>
              <w:t xml:space="preserve"> تتحصل في أن:</w:t>
            </w:r>
          </w:p>
          <w:p w:rsidR="001C45EF" w:rsidRPr="0030727F" w:rsidRDefault="001C45EF" w:rsidP="0030727F">
            <w:pPr>
              <w:rPr>
                <w:rFonts w:ascii="Simplified Arabic" w:hAnsi="Simplified Arabic" w:cs="Simplified Arabic"/>
                <w:b/>
                <w:bCs/>
                <w:rtl/>
              </w:rPr>
            </w:pPr>
          </w:p>
          <w:p w:rsidR="00525626"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وحيث أن تأصيل هذه الوقائع قانوناً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وحيث أن مادة  269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يترتب على تحقق الشرط الفاسخ زوال الالتزام، ويكون الدائن ملزماً بردّ ما أخذه، فإذا استحال الردّ لسبب هو مسئول عنه وجب عليه التعويض.</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على أن أعمال الإدارة التي تصدر من الدائن تبقى نافذة رغم تحقق الشرط.</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وقررت محكمة النقض بأن : إذ كان الإيجار الصادر من حائز العقار حيازة قانونية هو إيجار صحيح نافذ في حق المالك الحقيقي متى كان المستأجر حسن النية وذلك لاعتبارات تستوجبها حماية حركة التعامل واستقرار الحقوق، وبالتالي فمن باب أولى تنفذ إجارة المالك تحت شرط فاسخ قبل تحققه متى أبرمها أثناء حيازته لأنه مالك وله أن ينتفع بملكه بجميع أوجه الانتفاع ومنها إجارة العين، واتساقاً مع هذا الأصل نصت المادة 269 من القانون المدني على أنه "1- يترتب على تحقق الشرط الفاسخ زوال الالتزام ويكون الدائن ملزماً برد ما أخذه فإذا استحال الرد بسبب هو مسئول عنه وجب عليه التعويض. 2- على أن أعمال الإدارة التي تصدر من الدائن تبقى نافذة رغم تحقق الشرط".</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1613 - لسنة 70 ق - تاريخ الجلسة 9 / 12 / 2002 - مكتب فني 53 رقم الجزء 2 -  رقم الصفحة 1142 ]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أن : الأصل أن العقود لا تنفذ إلا في حق عاقديها، وأن صاحب الحق لا يلتزم بما صدر عن غيره من تصرفات ما لم يُجز هذا التصرف وهذا الأصل من أركان القانون التي راعاها القانون المدني فلم يسمح بالخروج عليها إلا في واحدة من أثنين أولاها هي الحالات التي حددها المشرع على سبيل الحصر لاعتبارات توجبها العدالة وحماية حركة التعامل وكفالة الاستقرار الاقتصادي ومنها إجارة </w:t>
            </w:r>
            <w:r w:rsidRPr="0030727F">
              <w:rPr>
                <w:rFonts w:ascii="Simplified Arabic" w:hAnsi="Simplified Arabic" w:cs="Simplified Arabic"/>
                <w:b/>
                <w:bCs/>
                <w:rtl/>
                <w:lang w:val="x-none"/>
              </w:rPr>
              <w:lastRenderedPageBreak/>
              <w:t>المالك الذي فسخ عقد ملكيته متى أجر قبل الفسخ فإن الإيجار يسري في حق المالك الذي عادت إليه ملكيته بالفسخ عملاً بنص المادة 269 منه التي نصت صراحة على أن أعمال الإدارة الصادرة من الدائن تحت شرط فاسخ تبقى نافذه رغم تحقق الشرط، وعلة ذلك واضحة، أن المالك الأصلي قد تصرف في ملكه، وأن المالك تحت شرط فاسخ له حق الإدارة وإلا تعطلت الحياة الاقتصادية بما في ذلك حق المالك الأصلي في أن يبيع تحت شرط فاسخ، ومن ثم كان النص على أن الإيجار لا ينفسخ بفسخ الملكية، أما الثانية فما جرى عليه قضاء هذه المحكمة من نفاذ التصرف إذا كان صاحب الحق نفسه قد أسهم بخطئه – سلباً أو إيجابا ً– في ظهور المتصرف بمظهر صاحب الحق في التصرف، وأن يكون خطأ صاحب الحق قد دفع الغير حسن النية إلى التعاقد مع صاحب الوضع الظاهر للشواهد المحيطة بوضعه والتي أن تولد الاعتقاد الشائع لمطابقة هذا المظهر للحقيقة، ونفاذ التصرف في هذه الحالة أقرب إلى أن يكون جزاءً لصاحب الحق على تقصيره.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274 - لسنة 66 ق - تاريخ الجلسة 23 / 11 / 2009 - مكتب فني 60 رقم الصفحة 868 ]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إذا اتفق المتعاقدان علي أن البيع يفسخ من تلقاء نفسه عند عدم قيام المشتري بدفع الثمن في الميعاد المحدد، فان هذا الشرط لا يعفي البائع من أعذار المشتري بدفع الثمن، فان دفع المشتري سقط حق البائع في المطالبة بفسخ البيع، وان لم يدفع وجب علي البائع رفع دعوي الفسخ، ولكن القاضي لا يملك أن ينظر المشتري إلي أجل، بل يتحتم عليه النطق بفسخ البيع، فإذا أراد البائع أن يعفي من أعذار المشتري، وجب عليه أن يشترط ذلك صراحة في العقد، وفي هذه الحالة يرفع البائع دعوي الفسخ دون أعذار، ويحكم القاضي بالفسخ دون أن ينظر المشتري أجل.</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شرح القانون المدني الجديد - العقود المسماة - الجزء السادس - عقد البيع وعقد المقايضة - الدكتور/محمد كامل مرسى  - 1953 - ص 400 : 401 ]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إذا لم يعذر البائع المشتري أن يدفع الثمن، ورفع دعوي الفسخ، جاز للمشتري أن يتوقي الفسخ بدفع الثمن في بداية الدعوي دون أبطاء، فإذا أبطأ في ذلك، اعتبر رفع الدعوي بمثابة أعذار، وفي الشرط في الغالب علي أنه يسلب القاضي  سلطته التقديرية فلا يستطيع إعطاء أجل المشتري لدفع الثمن، ويتعين عليه الحكم بفسخ البيع، ولا تعارض بين الأعذار الواجب وطلب الفسخ، فان أعذار البائع المشتري أن يدفع الثمن لا يكون نزولا منه عن المطالبة بفسخ البيع، بل هو شرط واجب لرفع الدعوي بالفسخ.</w:t>
            </w:r>
          </w:p>
          <w:p w:rsidR="001F1C19" w:rsidRPr="0030727F" w:rsidRDefault="001F1C19" w:rsidP="0030727F">
            <w:pPr>
              <w:rPr>
                <w:rFonts w:ascii="Simplified Arabic" w:hAnsi="Simplified Arabic" w:cs="Simplified Arabic"/>
                <w:b/>
                <w:bCs/>
                <w:color w:val="FF0000"/>
                <w:rtl/>
              </w:rPr>
            </w:pPr>
            <w:r w:rsidRPr="0030727F">
              <w:rPr>
                <w:rFonts w:ascii="Simplified Arabic" w:hAnsi="Simplified Arabic" w:cs="Simplified Arabic"/>
                <w:b/>
                <w:bCs/>
                <w:rtl/>
                <w:lang w:val="x-none"/>
              </w:rPr>
              <w:lastRenderedPageBreak/>
              <w:t>[ الوسيط في شرح القانون المدني "الجزء الرابع" العقود التي تقع على الملكية - البيع والمقايضة - الدكتور / عبد الرزاق أحمد السنهورى - 2004 - ص 732 ]</w:t>
            </w:r>
          </w:p>
          <w:p w:rsidR="00F34C23"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أنه هدياً بما تقدم من أسانيد قانونية </w:t>
            </w:r>
          </w:p>
          <w:p w:rsidR="0016755C" w:rsidRPr="0030727F" w:rsidRDefault="006403A6" w:rsidP="0030727F">
            <w:pPr>
              <w:rPr>
                <w:rFonts w:ascii="Simplified Arabic" w:hAnsi="Simplified Arabic" w:cs="Simplified Arabic"/>
                <w:b/>
                <w:bCs/>
                <w:color w:val="C00000"/>
                <w:sz w:val="32"/>
                <w:szCs w:val="32"/>
                <w:rtl/>
              </w:rPr>
            </w:pPr>
            <w:r w:rsidRPr="0030727F">
              <w:rPr>
                <w:rFonts w:ascii="Simplified Arabic" w:hAnsi="Simplified Arabic" w:cs="Simplified Arabic"/>
                <w:b/>
                <w:bCs/>
                <w:color w:val="C00000"/>
                <w:sz w:val="32"/>
                <w:szCs w:val="32"/>
                <w:rtl/>
              </w:rPr>
              <w:t>بنـــــــــــاء عليه</w:t>
            </w:r>
          </w:p>
          <w:p w:rsidR="0016755C"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أنا المحضر سالف الذكر قد أعلنت وسلمت المعلن إليه صوره من هذه الصحيفة </w:t>
            </w:r>
            <w:r w:rsidR="002514CB" w:rsidRPr="0030727F">
              <w:rPr>
                <w:rFonts w:ascii="Simplified Arabic" w:hAnsi="Simplified Arabic" w:cs="Simplified Arabic"/>
                <w:b/>
                <w:bCs/>
                <w:rtl/>
              </w:rPr>
              <w:t>وكلفته</w:t>
            </w:r>
            <w:r w:rsidRPr="0030727F">
              <w:rPr>
                <w:rFonts w:ascii="Simplified Arabic" w:hAnsi="Simplified Arabic" w:cs="Simplified Arabic"/>
                <w:b/>
                <w:bCs/>
                <w:rtl/>
              </w:rPr>
              <w:t xml:space="preserve"> بالحضور أمام </w:t>
            </w:r>
            <w:r w:rsidRPr="0030727F">
              <w:rPr>
                <w:rFonts w:ascii="Simplified Arabic" w:hAnsi="Simplified Arabic" w:cs="Simplified Arabic"/>
                <w:b/>
                <w:bCs/>
                <w:color w:val="0070C0"/>
                <w:rtl/>
              </w:rPr>
              <w:t xml:space="preserve">محكمة </w:t>
            </w:r>
            <w:r w:rsidRPr="0030727F">
              <w:rPr>
                <w:rFonts w:ascii="Simplified Arabic" w:hAnsi="Simplified Arabic" w:cs="Simplified Arabic"/>
                <w:b/>
                <w:bCs/>
                <w:rtl/>
              </w:rPr>
              <w:t xml:space="preserve">، </w:t>
            </w:r>
            <w:r w:rsidR="0063103B" w:rsidRPr="0030727F">
              <w:rPr>
                <w:rFonts w:ascii="Simplified Arabic" w:hAnsi="Simplified Arabic" w:cs="Simplified Arabic"/>
                <w:b/>
                <w:bCs/>
                <w:rtl/>
              </w:rPr>
              <w:t>و</w:t>
            </w:r>
            <w:r w:rsidRPr="0030727F">
              <w:rPr>
                <w:rFonts w:ascii="Simplified Arabic" w:hAnsi="Simplified Arabic" w:cs="Simplified Arabic"/>
                <w:b/>
                <w:bCs/>
                <w:rtl/>
              </w:rPr>
              <w:t>ذلك بجلستها التي ستنعقد علنا في يوم ..............</w:t>
            </w:r>
            <w:r w:rsidRPr="0030727F">
              <w:rPr>
                <w:rFonts w:ascii="Simplified Arabic" w:hAnsi="Simplified Arabic" w:cs="Simplified Arabic"/>
                <w:b/>
                <w:bCs/>
                <w:color w:val="0070C0"/>
                <w:rtl/>
              </w:rPr>
              <w:t xml:space="preserve">الموافق </w:t>
            </w:r>
            <w:r w:rsidR="005C2EDA" w:rsidRPr="0030727F">
              <w:rPr>
                <w:rFonts w:ascii="Simplified Arabic" w:hAnsi="Simplified Arabic" w:cs="Simplified Arabic"/>
                <w:b/>
                <w:bCs/>
                <w:rtl/>
              </w:rPr>
              <w:t xml:space="preserve"> </w:t>
            </w:r>
            <w:r w:rsidRPr="0030727F">
              <w:rPr>
                <w:rFonts w:ascii="Simplified Arabic" w:hAnsi="Simplified Arabic" w:cs="Simplified Arabic"/>
                <w:b/>
                <w:bCs/>
                <w:rtl/>
              </w:rPr>
              <w:t>من الساعة التاسعة صباحا وما بعدها ل</w:t>
            </w:r>
            <w:r w:rsidR="000746B6" w:rsidRPr="0030727F">
              <w:rPr>
                <w:rFonts w:ascii="Simplified Arabic" w:hAnsi="Simplified Arabic" w:cs="Simplified Arabic"/>
                <w:b/>
                <w:bCs/>
                <w:rtl/>
              </w:rPr>
              <w:t>ي</w:t>
            </w:r>
            <w:r w:rsidRPr="0030727F">
              <w:rPr>
                <w:rFonts w:ascii="Simplified Arabic" w:hAnsi="Simplified Arabic" w:cs="Simplified Arabic"/>
                <w:b/>
                <w:bCs/>
                <w:rtl/>
              </w:rPr>
              <w:t xml:space="preserve">سمع المعلن </w:t>
            </w:r>
            <w:r w:rsidR="000746B6" w:rsidRPr="0030727F">
              <w:rPr>
                <w:rFonts w:ascii="Simplified Arabic" w:hAnsi="Simplified Arabic" w:cs="Simplified Arabic"/>
                <w:b/>
                <w:bCs/>
                <w:rtl/>
              </w:rPr>
              <w:t>إليه</w:t>
            </w:r>
            <w:r w:rsidRPr="0030727F">
              <w:rPr>
                <w:rFonts w:ascii="Simplified Arabic" w:hAnsi="Simplified Arabic" w:cs="Simplified Arabic"/>
                <w:b/>
                <w:bCs/>
                <w:rtl/>
              </w:rPr>
              <w:t xml:space="preserve"> الحكم ب</w:t>
            </w:r>
            <w:r w:rsidR="0016755C" w:rsidRPr="0030727F">
              <w:rPr>
                <w:rFonts w:ascii="Simplified Arabic" w:hAnsi="Simplified Arabic" w:cs="Simplified Arabic"/>
                <w:b/>
                <w:bCs/>
                <w:rtl/>
              </w:rPr>
              <w:t>ـ:</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534021" w:rsidRPr="0030727F" w:rsidTr="00534021">
              <w:tc>
                <w:tcPr>
                  <w:tcW w:w="7830" w:type="dxa"/>
                  <w:tcBorders>
                    <w:top w:val="nil"/>
                    <w:left w:val="nil"/>
                    <w:bottom w:val="nil"/>
                    <w:right w:val="nil"/>
                  </w:tcBorders>
                </w:tcPr>
                <w:p w:rsidR="00534021" w:rsidRPr="0030727F" w:rsidRDefault="007732A5" w:rsidP="0030727F">
                  <w:pPr>
                    <w:ind w:left="33" w:firstLine="0"/>
                    <w:rPr>
                      <w:rFonts w:ascii="Simplified Arabic" w:hAnsi="Simplified Arabic" w:cs="Simplified Arabic"/>
                      <w:b/>
                      <w:bCs/>
                      <w:rtl/>
                    </w:rPr>
                  </w:pPr>
                  <w:r w:rsidRPr="0030727F">
                    <w:rPr>
                      <w:rFonts w:ascii="Simplified Arabic" w:hAnsi="Simplified Arabic" w:cs="Simplified Arabic"/>
                      <w:b/>
                      <w:bCs/>
                      <w:rtl/>
                    </w:rPr>
                    <w:t xml:space="preserve"> </w:t>
                  </w:r>
                  <w:r w:rsidRPr="0030727F">
                    <w:rPr>
                      <w:rFonts w:ascii="Simplified Arabic" w:hAnsi="Simplified Arabic" w:cs="Simplified Arabic"/>
                      <w:b/>
                      <w:bCs/>
                      <w:rtl/>
                      <w:lang w:val="x-none"/>
                    </w:rPr>
                    <w:t>فسخ عقد البيع - لتحقق الشرط الفاسخ  الصريح لعقد البيع</w:t>
                  </w:r>
                </w:p>
              </w:tc>
            </w:tr>
          </w:tbl>
          <w:p w:rsidR="008E5429" w:rsidRPr="0030727F" w:rsidRDefault="008E5429" w:rsidP="0030727F">
            <w:pPr>
              <w:ind w:firstLine="0"/>
              <w:rPr>
                <w:rFonts w:ascii="Simplified Arabic" w:hAnsi="Simplified Arabic" w:cs="Simplified Arabic"/>
                <w:b/>
                <w:bCs/>
                <w:rtl/>
              </w:rPr>
            </w:pPr>
            <w:r w:rsidRPr="0030727F">
              <w:rPr>
                <w:rFonts w:ascii="Simplified Arabic" w:hAnsi="Simplified Arabic" w:cs="Simplified Arabic"/>
                <w:b/>
                <w:bCs/>
                <w:rtl/>
              </w:rPr>
              <w:t>مع المصاريف ومقابل اتعاب المحاماة وشمول الحكم بالنفاذ المعجل بلا كفالة .</w:t>
            </w:r>
          </w:p>
          <w:p w:rsidR="006403A6" w:rsidRPr="0030727F" w:rsidRDefault="006403A6" w:rsidP="0030727F">
            <w:pPr>
              <w:rPr>
                <w:rFonts w:ascii="Simplified Arabic" w:hAnsi="Simplified Arabic" w:cs="Simplified Arabic"/>
                <w:b/>
                <w:bCs/>
                <w:sz w:val="32"/>
                <w:szCs w:val="32"/>
                <w:rtl/>
              </w:rPr>
            </w:pPr>
            <w:r w:rsidRPr="0030727F">
              <w:rPr>
                <w:rFonts w:ascii="Simplified Arabic" w:hAnsi="Simplified Arabic" w:cs="Simplified Arabic"/>
                <w:b/>
                <w:bCs/>
                <w:rtl/>
              </w:rPr>
              <w:t xml:space="preserve">مع حفظ كافة الحقوق الأخرى </w:t>
            </w:r>
            <w:r w:rsidR="008E5429" w:rsidRPr="0030727F">
              <w:rPr>
                <w:rFonts w:ascii="Simplified Arabic" w:hAnsi="Simplified Arabic" w:cs="Simplified Arabic"/>
                <w:b/>
                <w:bCs/>
                <w:rtl/>
              </w:rPr>
              <w:t xml:space="preserve">، </w:t>
            </w:r>
            <w:r w:rsidRPr="0030727F">
              <w:rPr>
                <w:rFonts w:ascii="Simplified Arabic" w:hAnsi="Simplified Arabic" w:cs="Simplified Arabic"/>
                <w:b/>
                <w:bCs/>
                <w:rtl/>
              </w:rPr>
              <w:t>ولآجل</w:t>
            </w:r>
            <w:r w:rsidR="00601D77" w:rsidRPr="0030727F">
              <w:rPr>
                <w:rFonts w:ascii="Simplified Arabic" w:hAnsi="Simplified Arabic" w:cs="Simplified Arabic"/>
                <w:b/>
                <w:bCs/>
                <w:rtl/>
              </w:rPr>
              <w:t xml:space="preserve"> العلم،،،</w:t>
            </w:r>
          </w:p>
        </w:tc>
        <w:tc>
          <w:tcPr>
            <w:tcW w:w="1809" w:type="dxa"/>
            <w:tcBorders>
              <w:left w:val="single" w:sz="4" w:space="0" w:color="auto"/>
            </w:tcBorders>
          </w:tcPr>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lastRenderedPageBreak/>
              <w:t>الموضوع</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tblGrid>
            <w:tr w:rsidR="008A0236" w:rsidRPr="00DF3E85" w:rsidTr="0032168F">
              <w:tc>
                <w:tcPr>
                  <w:tcW w:w="7830" w:type="dxa"/>
                  <w:tcBorders>
                    <w:top w:val="nil"/>
                    <w:left w:val="nil"/>
                    <w:bottom w:val="nil"/>
                    <w:right w:val="nil"/>
                  </w:tcBorders>
                </w:tcPr>
                <w:p w:rsidR="008A0236" w:rsidRPr="00DF3E85" w:rsidRDefault="008A0236"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فسخ عقد البيع - لتحقق الشرط الفاسخ  الصريح لعقد البيع</w:t>
                  </w:r>
                  <w:r w:rsidR="00207117" w:rsidRPr="00DF3E85">
                    <w:rPr>
                      <w:rFonts w:ascii="Simplified Arabic" w:hAnsi="Simplified Arabic" w:cs="Simplified Arabic"/>
                      <w:b/>
                      <w:bCs/>
                      <w:rtl/>
                    </w:rPr>
                    <w:t xml:space="preserve"> </w:t>
                  </w:r>
                </w:p>
              </w:tc>
            </w:tr>
          </w:tbl>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بناء على طلب الطالب ومسئوليته</w:t>
            </w: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وكيل الطالب</w:t>
            </w:r>
          </w:p>
          <w:p w:rsidR="006403A6" w:rsidRPr="0030727F" w:rsidRDefault="006403A6" w:rsidP="0030727F">
            <w:pPr>
              <w:ind w:firstLine="0"/>
              <w:rPr>
                <w:rFonts w:ascii="Simplified Arabic" w:hAnsi="Simplified Arabic" w:cs="Simplified Arabic"/>
                <w:b/>
                <w:bCs/>
                <w:sz w:val="32"/>
                <w:szCs w:val="32"/>
                <w:rtl/>
              </w:rPr>
            </w:pPr>
          </w:p>
          <w:p w:rsidR="00AC73B3" w:rsidRPr="0030727F" w:rsidRDefault="00AC73B3" w:rsidP="0030727F">
            <w:pPr>
              <w:ind w:firstLine="0"/>
              <w:rPr>
                <w:rFonts w:ascii="Simplified Arabic" w:hAnsi="Simplified Arabic" w:cs="Simplified Arabic"/>
                <w:b/>
                <w:bCs/>
                <w:sz w:val="32"/>
                <w:szCs w:val="32"/>
                <w:rtl/>
              </w:rPr>
            </w:pPr>
          </w:p>
        </w:tc>
      </w:tr>
    </w:tbl>
    <w:p w:rsidR="00384774" w:rsidRPr="0030727F" w:rsidRDefault="00384774" w:rsidP="0030727F">
      <w:pPr>
        <w:rPr>
          <w:rFonts w:ascii="Simplified Arabic" w:hAnsi="Simplified Arabic" w:cs="Simplified Arabic"/>
          <w:b/>
          <w:bCs/>
          <w:sz w:val="32"/>
          <w:szCs w:val="32"/>
          <w:rtl/>
        </w:rPr>
      </w:pPr>
    </w:p>
    <w:sectPr w:rsidR="00384774" w:rsidRPr="0030727F" w:rsidSect="0030727F">
      <w:headerReference w:type="default" r:id="rId6"/>
      <w:pgSz w:w="11907" w:h="16840" w:code="9"/>
      <w:pgMar w:top="1134" w:right="1134" w:bottom="1134"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CD" w:rsidRDefault="00974DCD" w:rsidP="00601D77">
      <w:r>
        <w:separator/>
      </w:r>
    </w:p>
  </w:endnote>
  <w:endnote w:type="continuationSeparator" w:id="0">
    <w:p w:rsidR="00974DCD" w:rsidRDefault="00974DCD" w:rsidP="006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fontKey="{5DCE9D54-F17A-48C9-8271-DDB8A1D594F4}"/>
  </w:font>
  <w:font w:name="Times New Roman">
    <w:panose1 w:val="02020603050405020304"/>
    <w:charset w:val="00"/>
    <w:family w:val="roman"/>
    <w:pitch w:val="variable"/>
    <w:sig w:usb0="E0002AFF" w:usb1="C0007841" w:usb2="00000009" w:usb3="00000000" w:csb0="000001FF" w:csb1="00000000"/>
  </w:font>
  <w:font w:name="Adobe ??? Medium">
    <w:altName w:val="Arial"/>
    <w:panose1 w:val="00000000000000000000"/>
    <w:charset w:val="B2"/>
    <w:family w:val="modern"/>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embedBold r:id="rId2" w:fontKey="{013F903A-68A8-4819-B3E3-9A9967A66986}"/>
  </w:font>
  <w:font w:name="Calibri Light">
    <w:panose1 w:val="020F0302020204030204"/>
    <w:charset w:val="00"/>
    <w:family w:val="swiss"/>
    <w:pitch w:val="variable"/>
    <w:sig w:usb0="A00002EF" w:usb1="4000207B" w:usb2="00000000" w:usb3="00000000" w:csb0="0000019F" w:csb1="00000000"/>
    <w:embedRegular r:id="rId3" w:fontKey="{19024EE6-F3B5-42C0-A270-64DBD4C6E2D5}"/>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CD" w:rsidRDefault="00974DCD" w:rsidP="00601D77">
      <w:r>
        <w:separator/>
      </w:r>
    </w:p>
  </w:footnote>
  <w:footnote w:type="continuationSeparator" w:id="0">
    <w:p w:rsidR="00974DCD" w:rsidRDefault="00974DCD" w:rsidP="0060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77" w:rsidRDefault="00601D77" w:rsidP="00601D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1"/>
    <w:rsid w:val="00005C27"/>
    <w:rsid w:val="00066831"/>
    <w:rsid w:val="000746B6"/>
    <w:rsid w:val="000931A5"/>
    <w:rsid w:val="000B5A09"/>
    <w:rsid w:val="00126929"/>
    <w:rsid w:val="0013014A"/>
    <w:rsid w:val="00161704"/>
    <w:rsid w:val="0016755C"/>
    <w:rsid w:val="001A1E35"/>
    <w:rsid w:val="001C401D"/>
    <w:rsid w:val="001C45EF"/>
    <w:rsid w:val="001D66D6"/>
    <w:rsid w:val="001E53EC"/>
    <w:rsid w:val="001F1C19"/>
    <w:rsid w:val="00207117"/>
    <w:rsid w:val="002204BB"/>
    <w:rsid w:val="00245B66"/>
    <w:rsid w:val="00247E65"/>
    <w:rsid w:val="002514CB"/>
    <w:rsid w:val="00275C88"/>
    <w:rsid w:val="002D2097"/>
    <w:rsid w:val="002E49AB"/>
    <w:rsid w:val="0030727F"/>
    <w:rsid w:val="0032168F"/>
    <w:rsid w:val="00342E10"/>
    <w:rsid w:val="00350BDA"/>
    <w:rsid w:val="00372284"/>
    <w:rsid w:val="00384774"/>
    <w:rsid w:val="00386157"/>
    <w:rsid w:val="00412ADE"/>
    <w:rsid w:val="0042179C"/>
    <w:rsid w:val="00437E1E"/>
    <w:rsid w:val="004A76AF"/>
    <w:rsid w:val="004F0497"/>
    <w:rsid w:val="0051026F"/>
    <w:rsid w:val="00525626"/>
    <w:rsid w:val="00534021"/>
    <w:rsid w:val="005A5CC5"/>
    <w:rsid w:val="005C2EDA"/>
    <w:rsid w:val="00601D77"/>
    <w:rsid w:val="0063103B"/>
    <w:rsid w:val="006403A6"/>
    <w:rsid w:val="007641CE"/>
    <w:rsid w:val="007732A5"/>
    <w:rsid w:val="007A6D78"/>
    <w:rsid w:val="007E2DFD"/>
    <w:rsid w:val="0083104E"/>
    <w:rsid w:val="00837005"/>
    <w:rsid w:val="00845CFE"/>
    <w:rsid w:val="00880543"/>
    <w:rsid w:val="00894A92"/>
    <w:rsid w:val="00895DAB"/>
    <w:rsid w:val="008A0236"/>
    <w:rsid w:val="008A38A5"/>
    <w:rsid w:val="008B1AF3"/>
    <w:rsid w:val="008E5429"/>
    <w:rsid w:val="009449F0"/>
    <w:rsid w:val="009658D6"/>
    <w:rsid w:val="00974037"/>
    <w:rsid w:val="00974DCD"/>
    <w:rsid w:val="009A068C"/>
    <w:rsid w:val="009B3C70"/>
    <w:rsid w:val="009F4825"/>
    <w:rsid w:val="00A2556A"/>
    <w:rsid w:val="00A4405C"/>
    <w:rsid w:val="00A45B21"/>
    <w:rsid w:val="00A81BF3"/>
    <w:rsid w:val="00A939FA"/>
    <w:rsid w:val="00AC73B3"/>
    <w:rsid w:val="00B437EF"/>
    <w:rsid w:val="00BE5A82"/>
    <w:rsid w:val="00BF3758"/>
    <w:rsid w:val="00C002DC"/>
    <w:rsid w:val="00C34070"/>
    <w:rsid w:val="00C8502E"/>
    <w:rsid w:val="00DA1763"/>
    <w:rsid w:val="00DB6093"/>
    <w:rsid w:val="00DC15F7"/>
    <w:rsid w:val="00DD55E5"/>
    <w:rsid w:val="00DE0B19"/>
    <w:rsid w:val="00DE7410"/>
    <w:rsid w:val="00DF3E85"/>
    <w:rsid w:val="00E32D79"/>
    <w:rsid w:val="00E92109"/>
    <w:rsid w:val="00EA0C14"/>
    <w:rsid w:val="00F34C23"/>
    <w:rsid w:val="00FB088A"/>
    <w:rsid w:val="00FC0848"/>
    <w:rsid w:val="00FE7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88F17C-14A0-4D68-B142-03487B6D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63"/>
    <w:pPr>
      <w:bidi/>
    </w:pPr>
    <w:rPr>
      <w:rFonts w:ascii="Adobe ??? Medium" w:hAnsi="Adobe ??? Medium" w:cs="Adobe ??? Medium"/>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3A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D77"/>
    <w:pPr>
      <w:tabs>
        <w:tab w:val="center" w:pos="4320"/>
        <w:tab w:val="right" w:pos="8640"/>
      </w:tabs>
    </w:pPr>
  </w:style>
  <w:style w:type="character" w:customStyle="1" w:styleId="HeaderChar">
    <w:name w:val="Header Char"/>
    <w:basedOn w:val="DefaultParagraphFont"/>
    <w:link w:val="Header"/>
    <w:uiPriority w:val="99"/>
    <w:locked/>
    <w:rsid w:val="00601D77"/>
    <w:rPr>
      <w:rFonts w:ascii="Adobe ??? Medium" w:hAnsi="Adobe ??? Medium" w:cs="Adobe ??? Medium"/>
      <w:sz w:val="28"/>
      <w:szCs w:val="28"/>
      <w:lang w:bidi="ar-EG"/>
    </w:rPr>
  </w:style>
  <w:style w:type="paragraph" w:styleId="Footer">
    <w:name w:val="footer"/>
    <w:basedOn w:val="Normal"/>
    <w:link w:val="FooterChar"/>
    <w:uiPriority w:val="99"/>
    <w:unhideWhenUsed/>
    <w:rsid w:val="00601D77"/>
    <w:pPr>
      <w:tabs>
        <w:tab w:val="center" w:pos="4320"/>
        <w:tab w:val="right" w:pos="8640"/>
      </w:tabs>
    </w:pPr>
  </w:style>
  <w:style w:type="character" w:customStyle="1" w:styleId="FooterChar">
    <w:name w:val="Footer Char"/>
    <w:basedOn w:val="DefaultParagraphFont"/>
    <w:link w:val="Footer"/>
    <w:uiPriority w:val="99"/>
    <w:locked/>
    <w:rsid w:val="00601D77"/>
    <w:rPr>
      <w:rFonts w:ascii="Adobe ??? Medium" w:hAnsi="Adobe ??? Medium" w:cs="Adobe ??? Medium"/>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Delphi_x000d_
http://ekrtf.code.net.ru</dc:description>
  <cp:lastModifiedBy>165</cp:lastModifiedBy>
  <cp:revision>2</cp:revision>
  <dcterms:created xsi:type="dcterms:W3CDTF">2020-08-27T14:10:00Z</dcterms:created>
  <dcterms:modified xsi:type="dcterms:W3CDTF">2020-08-27T14:10:00Z</dcterms:modified>
</cp:coreProperties>
</file>